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both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关于启动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市首批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高端智库</w:t>
      </w:r>
    </w:p>
    <w:p>
      <w:pPr>
        <w:adjustRightInd w:val="0"/>
        <w:snapToGrid w:val="0"/>
        <w:spacing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遴选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工作的通知</w:t>
      </w:r>
    </w:p>
    <w:bookmarkEnd w:id="0"/>
    <w:p>
      <w:pPr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bCs/>
          <w:sz w:val="34"/>
          <w:szCs w:val="34"/>
          <w:lang w:val="en-US" w:eastAsia="zh-CN"/>
        </w:rPr>
      </w:pPr>
    </w:p>
    <w:p>
      <w:pPr>
        <w:adjustRightInd w:val="0"/>
        <w:snapToGrid w:val="0"/>
        <w:spacing w:line="540" w:lineRule="exact"/>
        <w:rPr>
          <w:rFonts w:hint="default" w:ascii="仿宋_GB2312" w:hAnsi="仿宋_GB2312" w:eastAsia="仿宋_GB2312" w:cs="仿宋_GB2312"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4"/>
          <w:szCs w:val="34"/>
          <w:lang w:val="en-US" w:eastAsia="zh-CN"/>
        </w:rPr>
        <w:t>各有关单位：</w:t>
      </w:r>
    </w:p>
    <w:p>
      <w:pPr>
        <w:adjustRightInd w:val="0"/>
        <w:snapToGrid w:val="0"/>
        <w:spacing w:line="540" w:lineRule="exact"/>
        <w:ind w:firstLine="680" w:firstLineChars="200"/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深入推进天津市中国特色新型智库建设，着力打造一批具有中国特色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天津优势的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市级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高端智库，更好服务国家战略和</w:t>
      </w:r>
      <w:r>
        <w:rPr>
          <w:rFonts w:hint="eastAsia" w:ascii="仿宋_GB2312" w:hAnsi="仿宋_GB2312" w:eastAsia="仿宋_GB2312" w:cs="仿宋_GB2312"/>
          <w:bCs/>
          <w:strike w:val="0"/>
          <w:dstrike w:val="0"/>
          <w:color w:val="auto"/>
          <w:sz w:val="34"/>
          <w:szCs w:val="34"/>
          <w:u w:val="none"/>
          <w:lang w:eastAsia="zh-CN"/>
        </w:rPr>
        <w:t>天津</w:t>
      </w:r>
      <w:r>
        <w:rPr>
          <w:rFonts w:hint="eastAsia" w:ascii="仿宋_GB2312" w:hAnsi="仿宋_GB2312" w:eastAsia="仿宋_GB2312" w:cs="仿宋_GB2312"/>
          <w:bCs/>
          <w:sz w:val="34"/>
          <w:szCs w:val="34"/>
          <w:lang w:eastAsia="zh-CN"/>
        </w:rPr>
        <w:t>社会主义现代化大都市</w:t>
      </w:r>
      <w:r>
        <w:rPr>
          <w:rFonts w:hint="eastAsia" w:ascii="仿宋_GB2312" w:hAnsi="仿宋_GB2312" w:eastAsia="仿宋_GB2312" w:cs="仿宋_GB2312"/>
          <w:bCs/>
          <w:sz w:val="34"/>
          <w:szCs w:val="34"/>
        </w:rPr>
        <w:t>建设</w:t>
      </w:r>
      <w:r>
        <w:rPr>
          <w:rFonts w:hint="eastAsia" w:ascii="仿宋_GB2312" w:hAnsi="仿宋_GB2312" w:eastAsia="仿宋_GB2312" w:cs="仿宋_GB2312"/>
          <w:bCs/>
          <w:sz w:val="34"/>
          <w:szCs w:val="34"/>
          <w:lang w:eastAsia="zh-CN"/>
        </w:rPr>
        <w:t>，按照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《天津市加强新型智库建设的实施意见》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精神，经研究，现启动我市首批高端智库（含高端培育智库）遴选工作</w:t>
      </w:r>
      <w:r>
        <w:rPr>
          <w:rFonts w:hint="eastAsia" w:ascii="仿宋_GB2312" w:hAnsi="仿宋_GB2312" w:eastAsia="仿宋_GB2312" w:cs="仿宋_GB2312"/>
          <w:strike w:val="0"/>
          <w:color w:val="auto"/>
          <w:sz w:val="34"/>
          <w:szCs w:val="34"/>
          <w:lang w:eastAsia="zh-CN"/>
        </w:rPr>
        <w:t>。具体事项通知如下：</w:t>
      </w:r>
    </w:p>
    <w:p>
      <w:pPr>
        <w:pStyle w:val="22"/>
        <w:adjustRightInd w:val="0"/>
        <w:snapToGrid w:val="0"/>
        <w:spacing w:line="540" w:lineRule="exact"/>
        <w:ind w:firstLine="640"/>
        <w:jc w:val="left"/>
        <w:rPr>
          <w:rFonts w:ascii="黑体" w:hAnsi="黑体" w:eastAsia="黑体" w:cs="黑体"/>
          <w:bCs/>
          <w:color w:val="000000"/>
          <w:sz w:val="34"/>
          <w:szCs w:val="34"/>
        </w:rPr>
      </w:pPr>
      <w:r>
        <w:rPr>
          <w:rFonts w:hint="eastAsia" w:ascii="黑体" w:hAnsi="黑体" w:eastAsia="黑体" w:cs="黑体"/>
          <w:bCs/>
          <w:color w:val="000000"/>
          <w:sz w:val="34"/>
          <w:szCs w:val="34"/>
          <w:lang w:eastAsia="zh-CN"/>
        </w:rPr>
        <w:t>一</w:t>
      </w:r>
      <w:r>
        <w:rPr>
          <w:rFonts w:hint="eastAsia" w:ascii="黑体" w:hAnsi="黑体" w:eastAsia="黑体" w:cs="黑体"/>
          <w:bCs/>
          <w:color w:val="000000"/>
          <w:sz w:val="34"/>
          <w:szCs w:val="34"/>
        </w:rPr>
        <w:t>、</w:t>
      </w:r>
      <w:r>
        <w:rPr>
          <w:rFonts w:hint="eastAsia" w:ascii="黑体" w:hAnsi="黑体" w:eastAsia="黑体" w:cs="黑体"/>
          <w:bCs/>
          <w:color w:val="000000"/>
          <w:sz w:val="34"/>
          <w:szCs w:val="34"/>
          <w:lang w:eastAsia="zh-CN"/>
        </w:rPr>
        <w:t>遴选</w:t>
      </w:r>
      <w:r>
        <w:rPr>
          <w:rFonts w:hint="eastAsia" w:ascii="黑体" w:hAnsi="黑体" w:eastAsia="黑体" w:cs="黑体"/>
          <w:bCs/>
          <w:color w:val="000000"/>
          <w:sz w:val="34"/>
          <w:szCs w:val="34"/>
        </w:rPr>
        <w:t>范围</w:t>
      </w:r>
    </w:p>
    <w:p>
      <w:pPr>
        <w:adjustRightInd w:val="0"/>
        <w:snapToGrid w:val="0"/>
        <w:spacing w:line="540" w:lineRule="exact"/>
        <w:ind w:firstLine="680" w:firstLineChars="200"/>
        <w:rPr>
          <w:rFonts w:ascii="仿宋" w:hAnsi="仿宋" w:eastAsia="仿宋" w:cs="仿宋_GB2312"/>
          <w:color w:val="000000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高校、科研院所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党校（行政学院）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各级党政机关、企事业单位所属实体性研究机构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和社会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智库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，中央或外地驻津社科类科研机构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等。</w:t>
      </w:r>
    </w:p>
    <w:p>
      <w:pPr>
        <w:pStyle w:val="22"/>
        <w:adjustRightInd w:val="0"/>
        <w:snapToGrid w:val="0"/>
        <w:spacing w:line="540" w:lineRule="exact"/>
        <w:ind w:firstLine="640" w:firstLineChars="0"/>
        <w:jc w:val="left"/>
        <w:rPr>
          <w:rFonts w:hint="eastAsia" w:ascii="黑体" w:hAnsi="黑体" w:eastAsia="黑体" w:cs="黑体"/>
          <w:bCs/>
          <w:color w:val="000000"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4"/>
          <w:szCs w:val="34"/>
          <w:lang w:eastAsia="zh-CN"/>
        </w:rPr>
        <w:t>二</w:t>
      </w:r>
      <w:r>
        <w:rPr>
          <w:rFonts w:hint="eastAsia" w:ascii="黑体" w:hAnsi="黑体" w:eastAsia="黑体" w:cs="黑体"/>
          <w:bCs/>
          <w:color w:val="000000"/>
          <w:sz w:val="34"/>
          <w:szCs w:val="34"/>
        </w:rPr>
        <w:t>、</w:t>
      </w:r>
      <w:r>
        <w:rPr>
          <w:rFonts w:hint="eastAsia" w:ascii="黑体" w:hAnsi="黑体" w:eastAsia="黑体" w:cs="黑体"/>
          <w:bCs/>
          <w:color w:val="000000"/>
          <w:sz w:val="34"/>
          <w:szCs w:val="34"/>
          <w:lang w:eastAsia="zh-CN"/>
        </w:rPr>
        <w:t>申报条件</w:t>
      </w:r>
    </w:p>
    <w:p>
      <w:pPr>
        <w:adjustRightInd w:val="0"/>
        <w:snapToGrid w:val="0"/>
        <w:spacing w:line="540" w:lineRule="exact"/>
        <w:ind w:firstLine="680" w:firstLineChars="200"/>
        <w:rPr>
          <w:rFonts w:hint="eastAsia" w:ascii="仿宋_GB2312" w:hAnsi="仿宋_GB2312" w:eastAsia="仿宋_GB2312" w:cs="仿宋_GB2312"/>
          <w:color w:val="000000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遵守国家法律法规，为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依法设立、相对稳定、运作规范的实体性非营利研究机构；拥有独立的人员编制、办公场所、设施设备、文献资料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有健全的治理结构及组织章程、科学务实的发展规划、可持续的资金保障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；具有特色鲜明、长期关注的决策咨询研究领域及研究成果；具有一定影响的专业代表人物和专职研究人员；有多层次的学术交流平台和成果转化渠道；有功能完备的信息采集分析系统；有开展国际国内合作交流的良好条件等。</w:t>
      </w:r>
    </w:p>
    <w:p>
      <w:pPr>
        <w:adjustRightInd w:val="0"/>
        <w:snapToGrid w:val="0"/>
        <w:spacing w:line="540" w:lineRule="exact"/>
        <w:ind w:firstLine="680" w:firstLineChars="200"/>
        <w:rPr>
          <w:rFonts w:hint="default" w:ascii="仿宋_GB2312" w:hAnsi="仿宋_GB2312" w:eastAsia="仿宋_GB2312" w:cs="仿宋_GB2312"/>
          <w:strike w:val="0"/>
          <w:dstrike w:val="0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4"/>
          <w:szCs w:val="34"/>
          <w:lang w:val="en-US" w:eastAsia="zh-CN"/>
        </w:rPr>
        <w:t>2.有政治强、业务精、作风好，具备良好的道德素养、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较强运营经验的智库负责人。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集聚具有较大影响力和知名度的智库专家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团队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发挥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引领作用。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有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政治立场坚定，品德学风优良，熟悉国情市情，决策咨询研究水平突出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的领军人物作为首席专家。有研究能力强、影响力较大的核心骨干专家。有团结协作、成果丰硕的研究团队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。</w:t>
      </w:r>
    </w:p>
    <w:p>
      <w:pPr>
        <w:adjustRightInd w:val="0"/>
        <w:snapToGrid w:val="0"/>
        <w:spacing w:line="540" w:lineRule="exact"/>
        <w:ind w:firstLine="680" w:firstLineChars="200"/>
        <w:rPr>
          <w:rFonts w:hint="eastAsia" w:ascii="仿宋_GB2312" w:hAnsi="仿宋_GB2312" w:eastAsia="仿宋_GB2312" w:cs="仿宋_GB2312"/>
          <w:strike/>
          <w:dstrike w:val="0"/>
          <w:color w:val="000000"/>
          <w:sz w:val="34"/>
          <w:szCs w:val="34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4"/>
          <w:szCs w:val="3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4"/>
          <w:szCs w:val="34"/>
        </w:rPr>
        <w:t>紧紧围绕国家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4"/>
          <w:szCs w:val="34"/>
          <w:lang w:eastAsia="zh-CN"/>
        </w:rPr>
        <w:t>战略天津实施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4"/>
          <w:szCs w:val="34"/>
        </w:rPr>
        <w:t>和天津市经济社会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4"/>
          <w:szCs w:val="34"/>
          <w:lang w:eastAsia="zh-CN"/>
        </w:rPr>
        <w:t>高质量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4"/>
          <w:szCs w:val="34"/>
        </w:rPr>
        <w:t>发展战略问题和公共政策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4"/>
          <w:szCs w:val="34"/>
          <w:lang w:eastAsia="zh-CN"/>
        </w:rPr>
        <w:t>需要，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4"/>
          <w:szCs w:val="34"/>
        </w:rPr>
        <w:t>有明</w:t>
      </w:r>
      <w:r>
        <w:rPr>
          <w:rFonts w:hint="eastAsia" w:ascii="仿宋_GB2312" w:hAnsi="仿宋_GB2312" w:eastAsia="仿宋_GB2312" w:cs="仿宋_GB2312"/>
          <w:strike w:val="0"/>
          <w:dstrike w:val="0"/>
          <w:sz w:val="34"/>
          <w:szCs w:val="34"/>
        </w:rPr>
        <w:t>确的研究领域和研究重点，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4"/>
          <w:szCs w:val="34"/>
        </w:rPr>
        <w:t>突出专业特色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4"/>
          <w:szCs w:val="34"/>
          <w:lang w:eastAsia="zh-CN"/>
        </w:rPr>
        <w:t>。</w:t>
      </w:r>
      <w:r>
        <w:rPr>
          <w:rFonts w:hint="eastAsia" w:ascii="仿宋_GB2312" w:hAnsi="仿宋_GB2312" w:eastAsia="仿宋_GB2312" w:cs="仿宋_GB2312"/>
          <w:strike w:val="0"/>
          <w:dstrike w:val="0"/>
          <w:sz w:val="34"/>
          <w:szCs w:val="34"/>
        </w:rPr>
        <w:t>强化问题和应用导向，注重开展前瞻性、针对性、储备性政策研究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4"/>
          <w:szCs w:val="34"/>
          <w:lang w:eastAsia="zh-CN"/>
        </w:rPr>
        <w:t>。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4"/>
          <w:szCs w:val="34"/>
        </w:rPr>
        <w:t>在该研究领域能够发挥较强的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4"/>
          <w:szCs w:val="34"/>
          <w:lang w:eastAsia="zh-CN"/>
        </w:rPr>
        <w:t>咨政建言重要功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4"/>
          <w:szCs w:val="34"/>
        </w:rPr>
        <w:t>能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4"/>
          <w:szCs w:val="34"/>
          <w:lang w:eastAsia="zh-CN"/>
        </w:rPr>
        <w:t>，以及理论创新、舆论引导、社会服务和国际交流等功能。</w:t>
      </w:r>
    </w:p>
    <w:p>
      <w:pPr>
        <w:adjustRightInd w:val="0"/>
        <w:snapToGrid w:val="0"/>
        <w:spacing w:line="540" w:lineRule="exact"/>
        <w:ind w:firstLine="680" w:firstLineChars="200"/>
        <w:rPr>
          <w:rFonts w:hint="eastAsia" w:ascii="仿宋_GB2312" w:hAnsi="仿宋_GB2312" w:eastAsia="仿宋_GB2312" w:cs="仿宋_GB2312"/>
          <w:color w:val="FF0000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有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较强的学术基础和专业优势，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在本智库研究领域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4"/>
          <w:szCs w:val="34"/>
        </w:rPr>
        <w:t>有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4"/>
          <w:szCs w:val="34"/>
          <w:lang w:eastAsia="zh-CN"/>
        </w:rPr>
        <w:t>系列高水平的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4"/>
          <w:szCs w:val="34"/>
        </w:rPr>
        <w:t>决策咨询研究成果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4"/>
          <w:szCs w:val="34"/>
          <w:lang w:eastAsia="zh-CN"/>
        </w:rPr>
        <w:t>，以及体现智库其他功能的高水平成果。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有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成熟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的成果应用转化渠道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，有良好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的学术交流平台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国内外交流合作机制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；有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多样化的媒体合作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通道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、可供研究使用的相关信息资料储备等。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在咨政成果领导批示、文件采用、实践应用等方面有突出成效。</w:t>
      </w:r>
    </w:p>
    <w:p>
      <w:pPr>
        <w:adjustRightInd w:val="0"/>
        <w:snapToGrid w:val="0"/>
        <w:spacing w:line="540" w:lineRule="exact"/>
        <w:ind w:firstLine="680" w:firstLineChars="200"/>
        <w:rPr>
          <w:rFonts w:hint="eastAsia" w:ascii="仿宋_GB2312" w:hAnsi="仿宋_GB2312" w:eastAsia="仿宋_GB2312" w:cs="仿宋_GB2312"/>
          <w:color w:val="auto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有明确的市级高端智库建设目标和发展规划。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创新组织形式，改革运营方式，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组织管理、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绩效考核、激励引导、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人才培养、资源配置、研究内容、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成果转化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等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机制建设方面有明显成效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。充分发挥智库的研究专长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和发展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优势，为科学决策提供高水平的智力支持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。有稳定的经费来源渠道和充足的资金保障。面对发展需要，有进一步整合资源、发展壮大的清晰思路和有力举措。</w:t>
      </w:r>
    </w:p>
    <w:p>
      <w:pPr>
        <w:adjustRightInd w:val="0"/>
        <w:snapToGrid w:val="0"/>
        <w:spacing w:line="540" w:lineRule="exact"/>
        <w:ind w:firstLine="680" w:firstLineChars="200"/>
        <w:rPr>
          <w:rFonts w:ascii="黑体" w:hAnsi="黑体" w:eastAsia="黑体" w:cs="黑体"/>
          <w:bCs/>
          <w:color w:val="000000"/>
          <w:sz w:val="34"/>
          <w:szCs w:val="34"/>
        </w:rPr>
      </w:pPr>
      <w:r>
        <w:rPr>
          <w:rFonts w:hint="eastAsia" w:ascii="黑体" w:hAnsi="黑体" w:eastAsia="黑体" w:cs="黑体"/>
          <w:bCs/>
          <w:color w:val="000000"/>
          <w:sz w:val="34"/>
          <w:szCs w:val="34"/>
          <w:lang w:eastAsia="zh-CN"/>
        </w:rPr>
        <w:t>三</w:t>
      </w:r>
      <w:r>
        <w:rPr>
          <w:rFonts w:hint="eastAsia" w:ascii="黑体" w:hAnsi="黑体" w:eastAsia="黑体" w:cs="黑体"/>
          <w:bCs/>
          <w:color w:val="000000"/>
          <w:sz w:val="34"/>
          <w:szCs w:val="34"/>
        </w:rPr>
        <w:t>、遴选程序</w:t>
      </w:r>
    </w:p>
    <w:p>
      <w:pPr>
        <w:adjustRightInd w:val="0"/>
        <w:snapToGrid w:val="0"/>
        <w:spacing w:line="540" w:lineRule="exact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4"/>
          <w:szCs w:val="34"/>
        </w:rPr>
        <w:t>.组织申报。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面向全市（含中央驻津智库机构）发布通知，符合申报条件的智库填写《天津市高端智库遴选申报表》（见附件）。原则上，南开大学和天津大学限报5家，其他单位限报2家。申报2家及以上的单位需要自排顺序。</w:t>
      </w:r>
    </w:p>
    <w:p>
      <w:pPr>
        <w:keepNext w:val="0"/>
        <w:keepLines w:val="0"/>
        <w:pageBreakBefore w:val="0"/>
        <w:widowControl w:val="0"/>
        <w:tabs>
          <w:tab w:val="left" w:pos="302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2.组织预审。由天津市高端智库遴选工作办公室组织预审，比照遴选标准，对差距比较明显的申报智库予以剔除。</w:t>
      </w:r>
    </w:p>
    <w:p>
      <w:pPr>
        <w:keepNext w:val="0"/>
        <w:keepLines w:val="0"/>
        <w:pageBreakBefore w:val="0"/>
        <w:widowControl w:val="0"/>
        <w:tabs>
          <w:tab w:val="left" w:pos="302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3.专家评审。成立评审专家组，按照宁缺勿滥、择优遴选的原则组织严格评审，形成天津市高端智库、高端培育智库初步入围名单。</w:t>
      </w:r>
    </w:p>
    <w:p>
      <w:pPr>
        <w:keepNext w:val="0"/>
        <w:keepLines w:val="0"/>
        <w:pageBreakBefore w:val="0"/>
        <w:widowControl w:val="0"/>
        <w:tabs>
          <w:tab w:val="left" w:pos="302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4.审批同意。报市委宣传部审批，确定天津市高端智库、高端培育智库正式名单。</w:t>
      </w:r>
    </w:p>
    <w:p>
      <w:pPr>
        <w:keepNext w:val="0"/>
        <w:keepLines w:val="0"/>
        <w:pageBreakBefore w:val="0"/>
        <w:widowControl w:val="0"/>
        <w:tabs>
          <w:tab w:val="left" w:pos="302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5.结果报告。确定正式名单后，向市委报告。</w:t>
      </w:r>
    </w:p>
    <w:p>
      <w:pPr>
        <w:pStyle w:val="22"/>
        <w:adjustRightInd w:val="0"/>
        <w:snapToGrid w:val="0"/>
        <w:spacing w:line="540" w:lineRule="exact"/>
        <w:ind w:firstLine="640"/>
        <w:rPr>
          <w:rFonts w:hint="eastAsia" w:ascii="黑体" w:hAnsi="黑体" w:eastAsia="黑体" w:cs="黑体"/>
          <w:bCs/>
          <w:color w:val="auto"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4"/>
          <w:szCs w:val="34"/>
          <w:lang w:eastAsia="zh-CN"/>
        </w:rPr>
        <w:t>四、申报要求</w:t>
      </w:r>
    </w:p>
    <w:p>
      <w:pPr>
        <w:adjustRightInd w:val="0"/>
        <w:snapToGrid w:val="0"/>
        <w:spacing w:line="54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各申报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智库上级法人单位（以下简称各单位）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要把好政治关，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按照“优中选优”的要求，加强对智库申报工作的组织领导。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单位科研管理部门要对申报工作进行具体指导，对申报材料进行认真审核和把关。评审过程中如发现申报材料中有弄虚作假情况的，经核实后，将取消申报资格。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发现有意识形态问题、一票否决。</w:t>
      </w:r>
    </w:p>
    <w:p>
      <w:pPr>
        <w:adjustRightInd w:val="0"/>
        <w:snapToGrid w:val="0"/>
        <w:spacing w:line="54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2.各单位对申报智库相关材料进行审核盖章，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  <w:t>排序后（在申报表头标注）于</w:t>
      </w: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  <w:t>年11月29日（周三）前提交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。纸质材料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  <w:t>一式五份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报送至市社科联智库工作部，电子版发送至市社科联智库工作部邮箱。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outlineLvl w:val="9"/>
        <w:rPr>
          <w:rFonts w:hint="eastAsia" w:ascii="仿宋_GB2312" w:hAnsi="仿宋" w:eastAsia="仿宋_GB2312" w:cs="仿宋"/>
          <w:sz w:val="34"/>
          <w:szCs w:val="34"/>
          <w:lang w:val="en-US" w:eastAsia="zh-CN"/>
        </w:rPr>
      </w:pPr>
      <w:r>
        <w:rPr>
          <w:rFonts w:hint="eastAsia" w:ascii="仿宋_GB2312" w:hAnsi="仿宋" w:eastAsia="仿宋_GB2312" w:cs="仿宋"/>
          <w:sz w:val="34"/>
          <w:szCs w:val="34"/>
          <w:lang w:val="en-US" w:eastAsia="zh-CN"/>
        </w:rPr>
        <w:t>附件：天津市高端智库遴选申报表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/>
        <w:textAlignment w:val="auto"/>
        <w:outlineLvl w:val="9"/>
        <w:rPr>
          <w:rFonts w:hint="eastAsia" w:ascii="仿宋_GB2312" w:hAnsi="仿宋" w:eastAsia="仿宋_GB2312" w:cs="仿宋"/>
          <w:sz w:val="34"/>
          <w:szCs w:val="34"/>
          <w:lang w:val="en-US" w:eastAsia="zh-CN"/>
        </w:rPr>
      </w:pPr>
      <w:r>
        <w:rPr>
          <w:rFonts w:hint="eastAsia" w:ascii="仿宋_GB2312" w:hAnsi="仿宋" w:eastAsia="仿宋_GB2312" w:cs="仿宋"/>
          <w:sz w:val="34"/>
          <w:szCs w:val="3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/>
        <w:textAlignment w:val="auto"/>
        <w:outlineLvl w:val="9"/>
        <w:rPr>
          <w:rFonts w:hint="eastAsia" w:ascii="仿宋_GB2312" w:hAnsi="仿宋" w:eastAsia="仿宋_GB2312" w:cs="仿宋"/>
          <w:sz w:val="34"/>
          <w:szCs w:val="34"/>
          <w:lang w:val="en-US" w:eastAsia="zh-CN"/>
        </w:rPr>
      </w:pPr>
      <w:r>
        <w:rPr>
          <w:rFonts w:hint="eastAsia" w:ascii="仿宋_GB2312" w:hAnsi="仿宋" w:eastAsia="仿宋_GB2312" w:cs="仿宋"/>
          <w:sz w:val="34"/>
          <w:szCs w:val="34"/>
          <w:lang w:val="en-US" w:eastAsia="zh-CN"/>
        </w:rPr>
        <w:t>联 系 人：沈丽妹、周博文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/>
        <w:textAlignment w:val="auto"/>
        <w:outlineLvl w:val="9"/>
        <w:rPr>
          <w:rFonts w:hint="eastAsia" w:ascii="仿宋_GB2312" w:hAnsi="仿宋" w:eastAsia="仿宋_GB2312" w:cs="仿宋"/>
          <w:sz w:val="34"/>
          <w:szCs w:val="34"/>
          <w:lang w:val="en-US" w:eastAsia="zh-CN"/>
        </w:rPr>
      </w:pPr>
      <w:r>
        <w:rPr>
          <w:rFonts w:hint="eastAsia" w:ascii="仿宋_GB2312" w:hAnsi="仿宋" w:eastAsia="仿宋_GB2312" w:cs="仿宋"/>
          <w:sz w:val="34"/>
          <w:szCs w:val="34"/>
          <w:lang w:val="en-US" w:eastAsia="zh-CN"/>
        </w:rPr>
        <w:t>联系电话：23190590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/>
        <w:textAlignment w:val="auto"/>
        <w:outlineLvl w:val="9"/>
        <w:rPr>
          <w:rFonts w:hint="eastAsia" w:ascii="仿宋_GB2312" w:hAnsi="仿宋" w:eastAsia="仿宋_GB2312" w:cs="仿宋"/>
          <w:sz w:val="34"/>
          <w:szCs w:val="34"/>
          <w:lang w:val="en-US" w:eastAsia="zh-CN"/>
        </w:rPr>
      </w:pPr>
      <w:r>
        <w:rPr>
          <w:rFonts w:hint="eastAsia" w:ascii="仿宋_GB2312" w:hAnsi="仿宋" w:eastAsia="仿宋_GB2312" w:cs="仿宋"/>
          <w:sz w:val="34"/>
          <w:szCs w:val="34"/>
          <w:lang w:val="en-US" w:eastAsia="zh-CN"/>
        </w:rPr>
        <w:t>电子邮箱：</w:t>
      </w:r>
      <w:r>
        <w:rPr>
          <w:rFonts w:hint="eastAsia" w:ascii="仿宋_GB2312" w:hAnsi="仿宋" w:eastAsia="仿宋_GB2312" w:cs="仿宋"/>
          <w:sz w:val="34"/>
          <w:szCs w:val="34"/>
          <w:lang w:val="en-US" w:eastAsia="zh-CN"/>
        </w:rPr>
        <w:fldChar w:fldCharType="begin"/>
      </w:r>
      <w:r>
        <w:rPr>
          <w:rFonts w:hint="eastAsia" w:ascii="仿宋_GB2312" w:hAnsi="仿宋" w:eastAsia="仿宋_GB2312" w:cs="仿宋"/>
          <w:sz w:val="34"/>
          <w:szCs w:val="34"/>
          <w:lang w:val="en-US" w:eastAsia="zh-CN"/>
        </w:rPr>
        <w:instrText xml:space="preserve"> HYPERLINK "mailto:sklzkgzb@tj.gov.cn" </w:instrText>
      </w:r>
      <w:r>
        <w:rPr>
          <w:rFonts w:hint="eastAsia" w:ascii="仿宋_GB2312" w:hAnsi="仿宋" w:eastAsia="仿宋_GB2312" w:cs="仿宋"/>
          <w:sz w:val="34"/>
          <w:szCs w:val="34"/>
          <w:lang w:val="en-US" w:eastAsia="zh-CN"/>
        </w:rPr>
        <w:fldChar w:fldCharType="separate"/>
      </w:r>
      <w:r>
        <w:rPr>
          <w:rStyle w:val="15"/>
          <w:rFonts w:hint="eastAsia" w:ascii="仿宋_GB2312" w:hAnsi="仿宋" w:eastAsia="仿宋_GB2312" w:cs="仿宋"/>
          <w:sz w:val="34"/>
          <w:szCs w:val="34"/>
          <w:lang w:val="en-US" w:eastAsia="zh-CN"/>
        </w:rPr>
        <w:t>sklzkgzb</w:t>
      </w:r>
      <w:r>
        <w:rPr>
          <w:rStyle w:val="15"/>
          <w:rFonts w:hint="eastAsia" w:ascii="宋体" w:hAnsi="宋体" w:eastAsia="宋体" w:cs="宋体"/>
          <w:sz w:val="34"/>
          <w:szCs w:val="34"/>
          <w:lang w:val="en-US" w:eastAsia="zh-CN"/>
        </w:rPr>
        <w:t>@</w:t>
      </w:r>
      <w:r>
        <w:rPr>
          <w:rStyle w:val="15"/>
          <w:rFonts w:hint="eastAsia" w:ascii="仿宋_GB2312" w:hAnsi="仿宋" w:eastAsia="仿宋_GB2312" w:cs="仿宋"/>
          <w:sz w:val="34"/>
          <w:szCs w:val="34"/>
          <w:lang w:val="en-US" w:eastAsia="zh-CN"/>
        </w:rPr>
        <w:t>tj.gov.cn</w:t>
      </w:r>
      <w:r>
        <w:rPr>
          <w:rFonts w:hint="eastAsia" w:ascii="仿宋_GB2312" w:hAnsi="仿宋" w:eastAsia="仿宋_GB2312" w:cs="仿宋"/>
          <w:sz w:val="34"/>
          <w:szCs w:val="3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/>
        <w:textAlignment w:val="auto"/>
        <w:outlineLvl w:val="9"/>
        <w:rPr>
          <w:rFonts w:hint="eastAsia" w:ascii="仿宋_GB2312" w:hAnsi="仿宋" w:eastAsia="仿宋_GB2312" w:cs="仿宋"/>
          <w:sz w:val="34"/>
          <w:szCs w:val="34"/>
          <w:lang w:val="en-US" w:eastAsia="zh-CN"/>
        </w:rPr>
      </w:pPr>
      <w:r>
        <w:rPr>
          <w:rFonts w:hint="eastAsia" w:ascii="仿宋_GB2312" w:hAnsi="仿宋" w:eastAsia="仿宋_GB2312" w:cs="仿宋"/>
          <w:sz w:val="34"/>
          <w:szCs w:val="34"/>
          <w:lang w:val="en-US" w:eastAsia="zh-CN"/>
        </w:rPr>
        <w:t>通讯地址：和平区成都道52号市社科联智库工作部（2号楼302）</w:t>
      </w:r>
    </w:p>
    <w:p>
      <w:pPr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color w:val="000000"/>
          <w:sz w:val="34"/>
          <w:szCs w:val="34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adjustRightInd w:val="0"/>
        <w:snapToGrid w:val="0"/>
        <w:spacing w:line="540" w:lineRule="exact"/>
        <w:ind w:firstLine="4420" w:firstLineChars="1300"/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中共天津市委宣传部</w:t>
      </w:r>
    </w:p>
    <w:p>
      <w:pPr>
        <w:adjustRightInd w:val="0"/>
        <w:snapToGrid w:val="0"/>
        <w:spacing w:line="540" w:lineRule="exact"/>
        <w:ind w:firstLine="4080" w:firstLineChars="1200"/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天津市社会科学界联合会</w:t>
      </w:r>
    </w:p>
    <w:p>
      <w:pPr>
        <w:adjustRightInd w:val="0"/>
        <w:snapToGrid w:val="0"/>
        <w:spacing w:line="540" w:lineRule="exact"/>
        <w:ind w:firstLine="4420" w:firstLineChars="1300"/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2023年11月16日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2A4D5B-7CFD-4B49-9353-1A190456C2F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CA1EF4B-E117-402D-AAEF-7FD22D9948B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940F2CC-E8AD-4EDF-A854-2766D2FDE85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E7A1A12-B5E4-4054-AA8A-0D2E84FA5BFC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YTA2N2QwNzU0MzU1ZGY4MmFhNTNiNjEzOTAwNjAifQ=="/>
  </w:docVars>
  <w:rsids>
    <w:rsidRoot w:val="00B9212C"/>
    <w:rsid w:val="00004B74"/>
    <w:rsid w:val="0004338B"/>
    <w:rsid w:val="000869B2"/>
    <w:rsid w:val="0009276E"/>
    <w:rsid w:val="00095805"/>
    <w:rsid w:val="000A00E7"/>
    <w:rsid w:val="000A62EF"/>
    <w:rsid w:val="000B1607"/>
    <w:rsid w:val="000B2B45"/>
    <w:rsid w:val="000F246B"/>
    <w:rsid w:val="001028F7"/>
    <w:rsid w:val="001234CB"/>
    <w:rsid w:val="0012403D"/>
    <w:rsid w:val="001243D8"/>
    <w:rsid w:val="001324EF"/>
    <w:rsid w:val="001427AA"/>
    <w:rsid w:val="00163CD0"/>
    <w:rsid w:val="001644FE"/>
    <w:rsid w:val="00164F08"/>
    <w:rsid w:val="001A3BE3"/>
    <w:rsid w:val="001A6891"/>
    <w:rsid w:val="001B4816"/>
    <w:rsid w:val="001B5697"/>
    <w:rsid w:val="001E1614"/>
    <w:rsid w:val="001F4A3A"/>
    <w:rsid w:val="00206148"/>
    <w:rsid w:val="002072CB"/>
    <w:rsid w:val="00212F91"/>
    <w:rsid w:val="00250748"/>
    <w:rsid w:val="00257629"/>
    <w:rsid w:val="00263506"/>
    <w:rsid w:val="00265545"/>
    <w:rsid w:val="00287444"/>
    <w:rsid w:val="002B410A"/>
    <w:rsid w:val="002E14FB"/>
    <w:rsid w:val="002E3CCE"/>
    <w:rsid w:val="002F0C12"/>
    <w:rsid w:val="00301951"/>
    <w:rsid w:val="003143F9"/>
    <w:rsid w:val="00315475"/>
    <w:rsid w:val="0032259C"/>
    <w:rsid w:val="003333CC"/>
    <w:rsid w:val="003336F4"/>
    <w:rsid w:val="003509A3"/>
    <w:rsid w:val="00377AC6"/>
    <w:rsid w:val="003B49C1"/>
    <w:rsid w:val="003B5792"/>
    <w:rsid w:val="003D7E07"/>
    <w:rsid w:val="003E3D47"/>
    <w:rsid w:val="003E5833"/>
    <w:rsid w:val="003F455F"/>
    <w:rsid w:val="003F4A15"/>
    <w:rsid w:val="00400853"/>
    <w:rsid w:val="00403949"/>
    <w:rsid w:val="00423775"/>
    <w:rsid w:val="00441278"/>
    <w:rsid w:val="00454617"/>
    <w:rsid w:val="004550AE"/>
    <w:rsid w:val="00457D1B"/>
    <w:rsid w:val="00463718"/>
    <w:rsid w:val="00463CE5"/>
    <w:rsid w:val="004719A2"/>
    <w:rsid w:val="00474058"/>
    <w:rsid w:val="0049267E"/>
    <w:rsid w:val="00493D03"/>
    <w:rsid w:val="004B3ACF"/>
    <w:rsid w:val="004B41DB"/>
    <w:rsid w:val="004C6314"/>
    <w:rsid w:val="004E7257"/>
    <w:rsid w:val="004F0F20"/>
    <w:rsid w:val="0051783C"/>
    <w:rsid w:val="00521808"/>
    <w:rsid w:val="00530098"/>
    <w:rsid w:val="005474F4"/>
    <w:rsid w:val="005571CC"/>
    <w:rsid w:val="005679FE"/>
    <w:rsid w:val="005701EE"/>
    <w:rsid w:val="005842C0"/>
    <w:rsid w:val="005A2624"/>
    <w:rsid w:val="005A586D"/>
    <w:rsid w:val="005B32EF"/>
    <w:rsid w:val="005B3C65"/>
    <w:rsid w:val="005C5A02"/>
    <w:rsid w:val="005C6A5E"/>
    <w:rsid w:val="005D07C9"/>
    <w:rsid w:val="005D5880"/>
    <w:rsid w:val="005E3D63"/>
    <w:rsid w:val="005F2C9D"/>
    <w:rsid w:val="00600C2C"/>
    <w:rsid w:val="006010B2"/>
    <w:rsid w:val="00607406"/>
    <w:rsid w:val="00616E60"/>
    <w:rsid w:val="0063435F"/>
    <w:rsid w:val="006377F7"/>
    <w:rsid w:val="0064770C"/>
    <w:rsid w:val="0066152F"/>
    <w:rsid w:val="00663143"/>
    <w:rsid w:val="00682B4E"/>
    <w:rsid w:val="00693AE2"/>
    <w:rsid w:val="006C4AF8"/>
    <w:rsid w:val="006D40E8"/>
    <w:rsid w:val="006E015F"/>
    <w:rsid w:val="00702AC6"/>
    <w:rsid w:val="0070375D"/>
    <w:rsid w:val="007202E9"/>
    <w:rsid w:val="00724313"/>
    <w:rsid w:val="00752F09"/>
    <w:rsid w:val="007629B4"/>
    <w:rsid w:val="007702F9"/>
    <w:rsid w:val="00774AFC"/>
    <w:rsid w:val="00780BD0"/>
    <w:rsid w:val="007A19A9"/>
    <w:rsid w:val="007B27A9"/>
    <w:rsid w:val="007C30E7"/>
    <w:rsid w:val="008045EF"/>
    <w:rsid w:val="00811D5C"/>
    <w:rsid w:val="00820EF9"/>
    <w:rsid w:val="00862F37"/>
    <w:rsid w:val="00863568"/>
    <w:rsid w:val="00892323"/>
    <w:rsid w:val="008A2F54"/>
    <w:rsid w:val="008A3367"/>
    <w:rsid w:val="008B6F11"/>
    <w:rsid w:val="008C791F"/>
    <w:rsid w:val="008D2B47"/>
    <w:rsid w:val="008F2CB9"/>
    <w:rsid w:val="00905CB9"/>
    <w:rsid w:val="00917C52"/>
    <w:rsid w:val="0093247F"/>
    <w:rsid w:val="009371C3"/>
    <w:rsid w:val="00972E08"/>
    <w:rsid w:val="0099208C"/>
    <w:rsid w:val="009A30E7"/>
    <w:rsid w:val="009B5EDE"/>
    <w:rsid w:val="009C2F50"/>
    <w:rsid w:val="009D0CB2"/>
    <w:rsid w:val="009D31C4"/>
    <w:rsid w:val="009E14CD"/>
    <w:rsid w:val="009E602D"/>
    <w:rsid w:val="009F3C0A"/>
    <w:rsid w:val="00A001A0"/>
    <w:rsid w:val="00A11694"/>
    <w:rsid w:val="00A256D4"/>
    <w:rsid w:val="00A31B5A"/>
    <w:rsid w:val="00A32063"/>
    <w:rsid w:val="00A3795B"/>
    <w:rsid w:val="00A41482"/>
    <w:rsid w:val="00A43119"/>
    <w:rsid w:val="00A5521D"/>
    <w:rsid w:val="00A60C5D"/>
    <w:rsid w:val="00A62B42"/>
    <w:rsid w:val="00A75D12"/>
    <w:rsid w:val="00A92C94"/>
    <w:rsid w:val="00AA7BF0"/>
    <w:rsid w:val="00AC421C"/>
    <w:rsid w:val="00AD1103"/>
    <w:rsid w:val="00AD3E84"/>
    <w:rsid w:val="00AD5EBE"/>
    <w:rsid w:val="00AF4FD4"/>
    <w:rsid w:val="00B2105E"/>
    <w:rsid w:val="00B22E4F"/>
    <w:rsid w:val="00B27108"/>
    <w:rsid w:val="00B4658D"/>
    <w:rsid w:val="00B50145"/>
    <w:rsid w:val="00B51189"/>
    <w:rsid w:val="00B54471"/>
    <w:rsid w:val="00B64060"/>
    <w:rsid w:val="00B91723"/>
    <w:rsid w:val="00B9212C"/>
    <w:rsid w:val="00B97D7E"/>
    <w:rsid w:val="00BA002C"/>
    <w:rsid w:val="00BA4048"/>
    <w:rsid w:val="00BA67B5"/>
    <w:rsid w:val="00BB4478"/>
    <w:rsid w:val="00BC1095"/>
    <w:rsid w:val="00BC7D83"/>
    <w:rsid w:val="00BE4A27"/>
    <w:rsid w:val="00BE665E"/>
    <w:rsid w:val="00BF12AF"/>
    <w:rsid w:val="00BF2437"/>
    <w:rsid w:val="00C06F33"/>
    <w:rsid w:val="00C35DA2"/>
    <w:rsid w:val="00C404E6"/>
    <w:rsid w:val="00C516ED"/>
    <w:rsid w:val="00C60672"/>
    <w:rsid w:val="00C74423"/>
    <w:rsid w:val="00CA3FBC"/>
    <w:rsid w:val="00CA4BCF"/>
    <w:rsid w:val="00CB3E48"/>
    <w:rsid w:val="00CC7986"/>
    <w:rsid w:val="00CE1FC4"/>
    <w:rsid w:val="00CF4939"/>
    <w:rsid w:val="00D010C1"/>
    <w:rsid w:val="00D10CC7"/>
    <w:rsid w:val="00D15D98"/>
    <w:rsid w:val="00D23745"/>
    <w:rsid w:val="00D40E2E"/>
    <w:rsid w:val="00D4733D"/>
    <w:rsid w:val="00D57BC7"/>
    <w:rsid w:val="00D80403"/>
    <w:rsid w:val="00D816D8"/>
    <w:rsid w:val="00D92B87"/>
    <w:rsid w:val="00DA062A"/>
    <w:rsid w:val="00DA165A"/>
    <w:rsid w:val="00DA25A9"/>
    <w:rsid w:val="00DC0F61"/>
    <w:rsid w:val="00DC3126"/>
    <w:rsid w:val="00DD5217"/>
    <w:rsid w:val="00DE263D"/>
    <w:rsid w:val="00DF53B9"/>
    <w:rsid w:val="00E13BF0"/>
    <w:rsid w:val="00E26D06"/>
    <w:rsid w:val="00E32263"/>
    <w:rsid w:val="00E361C4"/>
    <w:rsid w:val="00E410E7"/>
    <w:rsid w:val="00E5035E"/>
    <w:rsid w:val="00E566E3"/>
    <w:rsid w:val="00E65759"/>
    <w:rsid w:val="00E720ED"/>
    <w:rsid w:val="00E81419"/>
    <w:rsid w:val="00E82BE3"/>
    <w:rsid w:val="00E83DAC"/>
    <w:rsid w:val="00E97EC9"/>
    <w:rsid w:val="00EA2029"/>
    <w:rsid w:val="00EA46A5"/>
    <w:rsid w:val="00EB1FAD"/>
    <w:rsid w:val="00EB4C07"/>
    <w:rsid w:val="00EC4D48"/>
    <w:rsid w:val="00EE4C5E"/>
    <w:rsid w:val="00EF273C"/>
    <w:rsid w:val="00F03318"/>
    <w:rsid w:val="00F262F3"/>
    <w:rsid w:val="00F32F36"/>
    <w:rsid w:val="00F4584F"/>
    <w:rsid w:val="00F90754"/>
    <w:rsid w:val="00F914F8"/>
    <w:rsid w:val="00FA41D2"/>
    <w:rsid w:val="00FC2343"/>
    <w:rsid w:val="00FC75C8"/>
    <w:rsid w:val="00FC76B5"/>
    <w:rsid w:val="00FE53C8"/>
    <w:rsid w:val="00FF2359"/>
    <w:rsid w:val="01057460"/>
    <w:rsid w:val="01FB4400"/>
    <w:rsid w:val="02035FDA"/>
    <w:rsid w:val="054B2F85"/>
    <w:rsid w:val="080B7697"/>
    <w:rsid w:val="09125438"/>
    <w:rsid w:val="0EE52393"/>
    <w:rsid w:val="0FDD410B"/>
    <w:rsid w:val="12621976"/>
    <w:rsid w:val="15005997"/>
    <w:rsid w:val="161776BE"/>
    <w:rsid w:val="17E72AC4"/>
    <w:rsid w:val="18F011A3"/>
    <w:rsid w:val="19536C23"/>
    <w:rsid w:val="196C146C"/>
    <w:rsid w:val="1A4629DF"/>
    <w:rsid w:val="1CCB2E97"/>
    <w:rsid w:val="1CD81220"/>
    <w:rsid w:val="1CF31C7E"/>
    <w:rsid w:val="1DC93CE1"/>
    <w:rsid w:val="1E7E7EEB"/>
    <w:rsid w:val="1FE14528"/>
    <w:rsid w:val="20982DEB"/>
    <w:rsid w:val="22850A66"/>
    <w:rsid w:val="23B16CC8"/>
    <w:rsid w:val="243A4344"/>
    <w:rsid w:val="26256B16"/>
    <w:rsid w:val="273D3904"/>
    <w:rsid w:val="27CE68B2"/>
    <w:rsid w:val="27DC3B6C"/>
    <w:rsid w:val="28417DA2"/>
    <w:rsid w:val="288D2232"/>
    <w:rsid w:val="2A3F7FFF"/>
    <w:rsid w:val="2ABC401A"/>
    <w:rsid w:val="2C4F55F5"/>
    <w:rsid w:val="2D9C6152"/>
    <w:rsid w:val="2DBF2C71"/>
    <w:rsid w:val="2EE2204E"/>
    <w:rsid w:val="305877C3"/>
    <w:rsid w:val="317567A6"/>
    <w:rsid w:val="337C021A"/>
    <w:rsid w:val="34A17512"/>
    <w:rsid w:val="356D15C5"/>
    <w:rsid w:val="38222A91"/>
    <w:rsid w:val="38A54468"/>
    <w:rsid w:val="3958553E"/>
    <w:rsid w:val="399152CA"/>
    <w:rsid w:val="3BD66C57"/>
    <w:rsid w:val="3FF549E2"/>
    <w:rsid w:val="403E58C3"/>
    <w:rsid w:val="41E65051"/>
    <w:rsid w:val="422C6CAF"/>
    <w:rsid w:val="42A0326F"/>
    <w:rsid w:val="42F741E5"/>
    <w:rsid w:val="44A43CCE"/>
    <w:rsid w:val="44AB0C7E"/>
    <w:rsid w:val="4576126A"/>
    <w:rsid w:val="45B5503F"/>
    <w:rsid w:val="46E45561"/>
    <w:rsid w:val="4B93511A"/>
    <w:rsid w:val="4C1B3B85"/>
    <w:rsid w:val="4F4E5266"/>
    <w:rsid w:val="510B7640"/>
    <w:rsid w:val="54F53C5F"/>
    <w:rsid w:val="55BD31B0"/>
    <w:rsid w:val="572E370D"/>
    <w:rsid w:val="5D6B1B96"/>
    <w:rsid w:val="64EA4B6C"/>
    <w:rsid w:val="662F4821"/>
    <w:rsid w:val="68CC6E6D"/>
    <w:rsid w:val="68F571D8"/>
    <w:rsid w:val="69787EC8"/>
    <w:rsid w:val="69E10659"/>
    <w:rsid w:val="6ACA60F3"/>
    <w:rsid w:val="6ADB79E0"/>
    <w:rsid w:val="6BD9362F"/>
    <w:rsid w:val="6BF40295"/>
    <w:rsid w:val="6F4770C9"/>
    <w:rsid w:val="6F7223E1"/>
    <w:rsid w:val="700C06A3"/>
    <w:rsid w:val="70D62CA9"/>
    <w:rsid w:val="75D816BA"/>
    <w:rsid w:val="76E26228"/>
    <w:rsid w:val="79302920"/>
    <w:rsid w:val="7A35130D"/>
    <w:rsid w:val="7A523818"/>
    <w:rsid w:val="7B2E15A4"/>
    <w:rsid w:val="7C030571"/>
    <w:rsid w:val="7D492155"/>
    <w:rsid w:val="7D812B85"/>
    <w:rsid w:val="7E3B79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annotation text"/>
    <w:basedOn w:val="1"/>
    <w:link w:val="17"/>
    <w:unhideWhenUsed/>
    <w:qFormat/>
    <w:uiPriority w:val="99"/>
    <w:pPr>
      <w:jc w:val="left"/>
    </w:pPr>
  </w:style>
  <w:style w:type="paragraph" w:styleId="6">
    <w:name w:val="Balloon Text"/>
    <w:basedOn w:val="1"/>
    <w:link w:val="18"/>
    <w:unhideWhenUsed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19"/>
    <w:unhideWhenUsed/>
    <w:uiPriority w:val="99"/>
    <w:rPr>
      <w:b/>
      <w:bCs/>
    </w:rPr>
  </w:style>
  <w:style w:type="table" w:styleId="11">
    <w:name w:val="Table Grid"/>
    <w:basedOn w:val="10"/>
    <w:uiPriority w:val="39"/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uiPriority w:val="0"/>
  </w:style>
  <w:style w:type="character" w:styleId="14">
    <w:name w:val="Emphasis"/>
    <w:basedOn w:val="12"/>
    <w:qFormat/>
    <w:uiPriority w:val="20"/>
    <w:rPr>
      <w:i/>
    </w:rPr>
  </w:style>
  <w:style w:type="character" w:styleId="15">
    <w:name w:val="Hyperlink"/>
    <w:basedOn w:val="12"/>
    <w:uiPriority w:val="0"/>
    <w:rPr>
      <w:color w:val="0000FF"/>
      <w:u w:val="single"/>
    </w:rPr>
  </w:style>
  <w:style w:type="character" w:styleId="16">
    <w:name w:val="annotation reference"/>
    <w:basedOn w:val="12"/>
    <w:unhideWhenUsed/>
    <w:qFormat/>
    <w:uiPriority w:val="99"/>
    <w:rPr>
      <w:sz w:val="21"/>
      <w:szCs w:val="21"/>
    </w:rPr>
  </w:style>
  <w:style w:type="character" w:customStyle="1" w:styleId="17">
    <w:name w:val="批注文字 字符"/>
    <w:basedOn w:val="12"/>
    <w:link w:val="5"/>
    <w:semiHidden/>
    <w:uiPriority w:val="99"/>
  </w:style>
  <w:style w:type="character" w:customStyle="1" w:styleId="18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19">
    <w:name w:val="批注主题 字符"/>
    <w:basedOn w:val="17"/>
    <w:link w:val="9"/>
    <w:semiHidden/>
    <w:uiPriority w:val="99"/>
    <w:rPr>
      <w:b/>
      <w:bCs/>
    </w:rPr>
  </w:style>
  <w:style w:type="character" w:customStyle="1" w:styleId="20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21">
    <w:name w:val="页眉 字符"/>
    <w:basedOn w:val="12"/>
    <w:link w:val="8"/>
    <w:uiPriority w:val="99"/>
    <w:rPr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7076</Words>
  <Characters>7277</Characters>
  <Lines>57</Lines>
  <Paragraphs>16</Paragraphs>
  <TotalTime>9</TotalTime>
  <ScaleCrop>false</ScaleCrop>
  <LinksUpToDate>false</LinksUpToDate>
  <CharactersWithSpaces>7672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2022-08-09T10:01:00Z</dcterms:created>
  <dc:creator>yy</dc:creator>
  <cp:lastModifiedBy>Kuppels</cp:lastModifiedBy>
  <cp:lastPrinted>2023-11-16T04:14:22Z</cp:lastPrinted>
  <dcterms:modified xsi:type="dcterms:W3CDTF">2023-11-16T07:48:48Z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5D0C4941798C4AF49D0E6FF6E7A162EF_13</vt:lpwstr>
  </property>
</Properties>
</file>